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7" w:rsidRDefault="00B16E4C" w:rsidP="00B16E4C">
      <w:pPr>
        <w:pStyle w:val="Heading1"/>
        <w:jc w:val="center"/>
        <w:rPr>
          <w:color w:val="auto"/>
        </w:rPr>
      </w:pPr>
      <w:r>
        <w:rPr>
          <w:color w:val="auto"/>
        </w:rPr>
        <w:t>Comparison between L</w:t>
      </w:r>
      <w:r w:rsidR="00F95985" w:rsidRPr="00B16E4C">
        <w:rPr>
          <w:color w:val="auto"/>
        </w:rPr>
        <w:t xml:space="preserve">earning in </w:t>
      </w:r>
      <w:r>
        <w:rPr>
          <w:color w:val="auto"/>
        </w:rPr>
        <w:t>Adulthood and Learning in C</w:t>
      </w:r>
      <w:r w:rsidR="00F95985" w:rsidRPr="00B16E4C">
        <w:rPr>
          <w:color w:val="auto"/>
        </w:rPr>
        <w:t>hildhood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3377"/>
        <w:gridCol w:w="3378"/>
      </w:tblGrid>
      <w:tr w:rsidR="00E20E4B" w:rsidTr="003927AE">
        <w:trPr>
          <w:tblHeader/>
        </w:trPr>
        <w:tc>
          <w:tcPr>
            <w:tcW w:w="2821" w:type="dxa"/>
          </w:tcPr>
          <w:p w:rsidR="00E20E4B" w:rsidRPr="00B16E4C" w:rsidRDefault="00E20E4B" w:rsidP="00B16E4C">
            <w:pPr>
              <w:pStyle w:val="Heading2"/>
              <w:jc w:val="center"/>
              <w:outlineLvl w:val="1"/>
              <w:rPr>
                <w:color w:val="auto"/>
              </w:rPr>
            </w:pPr>
            <w:bookmarkStart w:id="0" w:name="_GoBack" w:colFirst="0" w:colLast="3"/>
          </w:p>
        </w:tc>
        <w:tc>
          <w:tcPr>
            <w:tcW w:w="3377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Adult</w:t>
            </w:r>
          </w:p>
        </w:tc>
        <w:tc>
          <w:tcPr>
            <w:tcW w:w="3378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Children</w:t>
            </w:r>
          </w:p>
        </w:tc>
      </w:tr>
      <w:bookmarkEnd w:id="0"/>
      <w:tr w:rsidR="00E20E4B" w:rsidTr="00E20E4B">
        <w:tc>
          <w:tcPr>
            <w:tcW w:w="2821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Life Experiences</w:t>
            </w:r>
          </w:p>
        </w:tc>
        <w:tc>
          <w:tcPr>
            <w:tcW w:w="3377" w:type="dxa"/>
          </w:tcPr>
          <w:p w:rsidR="00E20E4B" w:rsidRDefault="00E20E4B" w:rsidP="00B16E4C">
            <w:r>
              <w:t xml:space="preserve">Extensive pragmatic life experiences which tend to structure and limit new learning. Learning focuses largely on transforming or extending the meanings, values, skills, and strategies acquired in previous experience. </w:t>
            </w:r>
          </w:p>
        </w:tc>
        <w:tc>
          <w:tcPr>
            <w:tcW w:w="3378" w:type="dxa"/>
          </w:tcPr>
          <w:p w:rsidR="00E20E4B" w:rsidRDefault="00E20E4B" w:rsidP="00B16E4C">
            <w:r>
              <w:t xml:space="preserve">Few pragmatic life experiences. Learning focuses largely on forming and accumulating basic meanings, values, skills, and strategies. </w:t>
            </w:r>
          </w:p>
        </w:tc>
      </w:tr>
      <w:tr w:rsidR="00E20E4B" w:rsidTr="00E20E4B">
        <w:tc>
          <w:tcPr>
            <w:tcW w:w="2821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Pressures for Change</w:t>
            </w:r>
          </w:p>
        </w:tc>
        <w:tc>
          <w:tcPr>
            <w:tcW w:w="3377" w:type="dxa"/>
          </w:tcPr>
          <w:p w:rsidR="00E20E4B" w:rsidRDefault="00E20E4B" w:rsidP="00B16E4C">
            <w:r>
              <w:t xml:space="preserve">Experience major pressures for change from factors related to social and work roles and expectations, and from personal needs for continuing productivity and self-definition. </w:t>
            </w:r>
          </w:p>
        </w:tc>
        <w:tc>
          <w:tcPr>
            <w:tcW w:w="3378" w:type="dxa"/>
          </w:tcPr>
          <w:p w:rsidR="00E20E4B" w:rsidRDefault="00E20E4B" w:rsidP="00B16E4C">
            <w:r>
              <w:t xml:space="preserve">Experience major pressures for change from factors related to physical growth, demands for socialization, and preparation for future social and work roles. </w:t>
            </w:r>
          </w:p>
        </w:tc>
      </w:tr>
      <w:tr w:rsidR="00E20E4B" w:rsidTr="00E20E4B">
        <w:tc>
          <w:tcPr>
            <w:tcW w:w="2821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Learning Experiences</w:t>
            </w:r>
          </w:p>
        </w:tc>
        <w:tc>
          <w:tcPr>
            <w:tcW w:w="3377" w:type="dxa"/>
          </w:tcPr>
          <w:p w:rsidR="00E20E4B" w:rsidRDefault="00E20E4B" w:rsidP="00B16E4C">
            <w:r>
              <w:t>Learning needs related to current life situations.</w:t>
            </w:r>
          </w:p>
          <w:p w:rsidR="00E20E4B" w:rsidRDefault="00E20E4B" w:rsidP="00B16E4C">
            <w:r>
              <w:t>Capacity for using generalized, abstract thought.</w:t>
            </w:r>
          </w:p>
        </w:tc>
        <w:tc>
          <w:tcPr>
            <w:tcW w:w="3378" w:type="dxa"/>
          </w:tcPr>
          <w:p w:rsidR="00E20E4B" w:rsidRDefault="00E20E4B" w:rsidP="00B16E4C">
            <w:r>
              <w:t>Learning needs related to developing organized patterns for understanding future experiences.</w:t>
            </w:r>
          </w:p>
          <w:p w:rsidR="00E20E4B" w:rsidRDefault="00E20E4B" w:rsidP="00B16E4C">
            <w:r>
              <w:t xml:space="preserve">More likely to use specific, concrete thought.  </w:t>
            </w:r>
          </w:p>
        </w:tc>
      </w:tr>
      <w:tr w:rsidR="00E20E4B" w:rsidTr="00E20E4B">
        <w:tc>
          <w:tcPr>
            <w:tcW w:w="2821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Needs &amp; Learning Processes</w:t>
            </w:r>
          </w:p>
        </w:tc>
        <w:tc>
          <w:tcPr>
            <w:tcW w:w="3377" w:type="dxa"/>
          </w:tcPr>
          <w:p w:rsidR="00E20E4B" w:rsidRDefault="00E20E4B" w:rsidP="00B16E4C">
            <w:r>
              <w:t>Likely to express their own needs and describe their own learning processes through verbal activities which allow them to negotiate and collaborate in planning their own learning programs.</w:t>
            </w:r>
          </w:p>
        </w:tc>
        <w:tc>
          <w:tcPr>
            <w:tcW w:w="3378" w:type="dxa"/>
          </w:tcPr>
          <w:p w:rsidR="00E20E4B" w:rsidRDefault="00E20E4B" w:rsidP="00B16E4C">
            <w:r>
              <w:t>Likely to express their own needs and learning processes through non-verbal activities, which leads to planning by “expert” observers and interpreters.</w:t>
            </w:r>
          </w:p>
        </w:tc>
      </w:tr>
      <w:tr w:rsidR="00E20E4B" w:rsidTr="00E20E4B">
        <w:trPr>
          <w:trHeight w:val="1142"/>
        </w:trPr>
        <w:tc>
          <w:tcPr>
            <w:tcW w:w="2821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Self-Concept &amp; Self-Esteem</w:t>
            </w:r>
          </w:p>
        </w:tc>
        <w:tc>
          <w:tcPr>
            <w:tcW w:w="3377" w:type="dxa"/>
          </w:tcPr>
          <w:p w:rsidR="00E20E4B" w:rsidRDefault="00E20E4B" w:rsidP="00B16E4C">
            <w:r>
              <w:t xml:space="preserve">Organized and consistent self-concept and self-esteem which allows them to participate as a self-separate from other selves and capable of acting independently of others. </w:t>
            </w:r>
          </w:p>
        </w:tc>
        <w:tc>
          <w:tcPr>
            <w:tcW w:w="3378" w:type="dxa"/>
          </w:tcPr>
          <w:p w:rsidR="00E20E4B" w:rsidRDefault="00E20E4B" w:rsidP="00B16E4C">
            <w:r>
              <w:t xml:space="preserve">Relatively less organized and consistent self-concept which allows them to perceive themselves as a self-separate from but dependent on others. </w:t>
            </w:r>
          </w:p>
        </w:tc>
      </w:tr>
      <w:tr w:rsidR="00E20E4B" w:rsidTr="00E20E4B">
        <w:tc>
          <w:tcPr>
            <w:tcW w:w="2821" w:type="dxa"/>
          </w:tcPr>
          <w:p w:rsidR="00E20E4B" w:rsidRPr="00E20E4B" w:rsidRDefault="00E20E4B" w:rsidP="00E20E4B">
            <w:pPr>
              <w:pStyle w:val="Heading3"/>
              <w:jc w:val="center"/>
              <w:outlineLvl w:val="2"/>
              <w:rPr>
                <w:color w:val="auto"/>
              </w:rPr>
            </w:pPr>
            <w:r w:rsidRPr="00E20E4B">
              <w:rPr>
                <w:color w:val="auto"/>
              </w:rPr>
              <w:t>Status in Society</w:t>
            </w:r>
          </w:p>
        </w:tc>
        <w:tc>
          <w:tcPr>
            <w:tcW w:w="3377" w:type="dxa"/>
          </w:tcPr>
          <w:p w:rsidR="00E20E4B" w:rsidRDefault="00E20E4B" w:rsidP="00B16E4C">
            <w:r>
              <w:t xml:space="preserve">Assigned a responsible status in society, and are expected to be productive. </w:t>
            </w:r>
          </w:p>
        </w:tc>
        <w:tc>
          <w:tcPr>
            <w:tcW w:w="3378" w:type="dxa"/>
          </w:tcPr>
          <w:p w:rsidR="00E20E4B" w:rsidRDefault="00E20E4B" w:rsidP="00B16E4C">
            <w:r>
              <w:t>Assigned a non-responsible status in society, and are expected to play and learn.</w:t>
            </w:r>
          </w:p>
        </w:tc>
      </w:tr>
    </w:tbl>
    <w:p w:rsidR="00F95985" w:rsidRDefault="00F95985"/>
    <w:p w:rsidR="001D5B9D" w:rsidRDefault="001D5B9D">
      <w:r>
        <w:t xml:space="preserve">MacKeracher, D. (2004). </w:t>
      </w:r>
      <w:r w:rsidRPr="001D5B9D">
        <w:rPr>
          <w:i/>
        </w:rPr>
        <w:t>Making Sense of Adult Learning (2</w:t>
      </w:r>
      <w:r w:rsidRPr="001D5B9D">
        <w:rPr>
          <w:i/>
          <w:vertAlign w:val="superscript"/>
        </w:rPr>
        <w:t>nd</w:t>
      </w:r>
      <w:r w:rsidRPr="001D5B9D">
        <w:rPr>
          <w:i/>
        </w:rPr>
        <w:t xml:space="preserve"> Edition),</w:t>
      </w:r>
      <w:r>
        <w:t xml:space="preserve"> Toronto, ON: University of Toronto Press, pp. 27.</w:t>
      </w:r>
    </w:p>
    <w:sectPr w:rsidR="001D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7D9"/>
    <w:multiLevelType w:val="hybridMultilevel"/>
    <w:tmpl w:val="139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AE"/>
    <w:rsid w:val="001D5B9D"/>
    <w:rsid w:val="003927AE"/>
    <w:rsid w:val="005F32A7"/>
    <w:rsid w:val="00B16E4C"/>
    <w:rsid w:val="00E20E4B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E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9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E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utn\Downloads\Comparison-between-learning-in-adulthood-and-learning-in-childhoo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D8E5-D7E6-42F2-B2E9-D36F44CF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Comparison-between-learning-in-adulthood-and-learning-in-childhood (1)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1</cp:revision>
  <dcterms:created xsi:type="dcterms:W3CDTF">2013-12-09T15:02:00Z</dcterms:created>
  <dcterms:modified xsi:type="dcterms:W3CDTF">2013-12-09T15:03:00Z</dcterms:modified>
</cp:coreProperties>
</file>