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AD" w:rsidRDefault="005518AD" w:rsidP="00B753A0">
      <w:pPr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In accordance with the </w:t>
      </w:r>
      <w:r w:rsidRPr="001627F2">
        <w:rPr>
          <w:b/>
          <w:i/>
          <w:szCs w:val="24"/>
        </w:rPr>
        <w:t>Canadian Biosafety Standard, 2</w:t>
      </w:r>
      <w:r w:rsidRPr="001627F2">
        <w:rPr>
          <w:b/>
          <w:i/>
          <w:szCs w:val="24"/>
          <w:vertAlign w:val="superscript"/>
        </w:rPr>
        <w:t>nd</w:t>
      </w:r>
      <w:r w:rsidRPr="001627F2">
        <w:rPr>
          <w:b/>
          <w:i/>
          <w:szCs w:val="24"/>
        </w:rPr>
        <w:t xml:space="preserve"> edition</w:t>
      </w:r>
      <w:r w:rsidRPr="005518AD">
        <w:rPr>
          <w:b/>
          <w:szCs w:val="24"/>
          <w:vertAlign w:val="superscript"/>
        </w:rPr>
        <w:t>1</w:t>
      </w:r>
      <w:r w:rsidR="001F57E1">
        <w:rPr>
          <w:b/>
          <w:szCs w:val="24"/>
        </w:rPr>
        <w:t>, Algonquin</w:t>
      </w:r>
      <w:r>
        <w:rPr>
          <w:b/>
          <w:szCs w:val="24"/>
        </w:rPr>
        <w:t xml:space="preserve"> College’s Applied Science and Environmental Technology Department (ASET) has developed a program designed to prevent and detect personnel illness related to exposure to infectious material or toxins.  The focus of the program is primarily preventive, but provides a response mechanism through which a potential infection or intoxication can be identified and treated before serious injury or disease occurs.   </w:t>
      </w:r>
    </w:p>
    <w:p w:rsidR="005518AD" w:rsidRDefault="005518AD" w:rsidP="00B753A0">
      <w:pPr>
        <w:ind w:firstLine="0"/>
        <w:jc w:val="both"/>
        <w:rPr>
          <w:b/>
          <w:szCs w:val="24"/>
        </w:rPr>
      </w:pPr>
    </w:p>
    <w:p w:rsidR="00261A8A" w:rsidRPr="007D3225" w:rsidRDefault="00603328" w:rsidP="00B753A0">
      <w:pPr>
        <w:ind w:firstLine="0"/>
        <w:jc w:val="both"/>
        <w:rPr>
          <w:b/>
          <w:szCs w:val="24"/>
        </w:rPr>
      </w:pPr>
      <w:r>
        <w:rPr>
          <w:szCs w:val="24"/>
        </w:rPr>
        <w:t>Individuals</w:t>
      </w:r>
      <w:r w:rsidR="008B23BB">
        <w:rPr>
          <w:szCs w:val="24"/>
        </w:rPr>
        <w:t xml:space="preserve"> </w:t>
      </w:r>
      <w:r>
        <w:rPr>
          <w:szCs w:val="24"/>
        </w:rPr>
        <w:t>visitin</w:t>
      </w:r>
      <w:r w:rsidR="008B23BB">
        <w:rPr>
          <w:szCs w:val="24"/>
        </w:rPr>
        <w:t xml:space="preserve">g the WA129 and </w:t>
      </w:r>
      <w:r w:rsidR="005518AD">
        <w:rPr>
          <w:szCs w:val="24"/>
        </w:rPr>
        <w:t>WA130 laboratories at</w:t>
      </w:r>
      <w:r w:rsidR="008B23BB">
        <w:rPr>
          <w:szCs w:val="24"/>
        </w:rPr>
        <w:t xml:space="preserve"> A</w:t>
      </w:r>
      <w:r w:rsidR="00393671" w:rsidRPr="007D3225">
        <w:rPr>
          <w:szCs w:val="24"/>
        </w:rPr>
        <w:t xml:space="preserve">lgonquin College </w:t>
      </w:r>
      <w:r>
        <w:rPr>
          <w:szCs w:val="24"/>
        </w:rPr>
        <w:t>may be</w:t>
      </w:r>
      <w:r w:rsidR="00393671" w:rsidRPr="007D3225">
        <w:rPr>
          <w:szCs w:val="24"/>
        </w:rPr>
        <w:t xml:space="preserve"> subject to medical surveillance</w:t>
      </w:r>
      <w:r w:rsidR="003C24EE">
        <w:rPr>
          <w:szCs w:val="24"/>
        </w:rPr>
        <w:t>, prior to accessing the labs.</w:t>
      </w:r>
    </w:p>
    <w:p w:rsidR="00B753A0" w:rsidRDefault="00B753A0" w:rsidP="00D14101">
      <w:pPr>
        <w:ind w:firstLine="0"/>
        <w:jc w:val="both"/>
        <w:rPr>
          <w:szCs w:val="24"/>
        </w:rPr>
      </w:pPr>
    </w:p>
    <w:p w:rsidR="00BB2F8E" w:rsidRDefault="00D14101" w:rsidP="00D14101">
      <w:pPr>
        <w:ind w:firstLine="0"/>
        <w:jc w:val="both"/>
        <w:rPr>
          <w:szCs w:val="24"/>
        </w:rPr>
      </w:pPr>
      <w:r w:rsidRPr="007D3225">
        <w:rPr>
          <w:szCs w:val="24"/>
        </w:rPr>
        <w:t xml:space="preserve">To ensure a safe work environment, </w:t>
      </w:r>
      <w:r w:rsidR="003C24EE">
        <w:rPr>
          <w:szCs w:val="24"/>
        </w:rPr>
        <w:t>visiting individuals</w:t>
      </w:r>
      <w:r w:rsidR="00E17D76">
        <w:rPr>
          <w:szCs w:val="24"/>
        </w:rPr>
        <w:t xml:space="preserve"> are</w:t>
      </w:r>
      <w:r w:rsidR="00BB2F8E" w:rsidRPr="007D3225">
        <w:rPr>
          <w:szCs w:val="24"/>
        </w:rPr>
        <w:t xml:space="preserve"> </w:t>
      </w:r>
      <w:r w:rsidRPr="007D3225">
        <w:rPr>
          <w:szCs w:val="24"/>
        </w:rPr>
        <w:t xml:space="preserve">strongly encouraged </w:t>
      </w:r>
      <w:r w:rsidR="00BB2F8E" w:rsidRPr="007D3225">
        <w:rPr>
          <w:szCs w:val="24"/>
        </w:rPr>
        <w:t xml:space="preserve">to </w:t>
      </w:r>
      <w:r w:rsidRPr="007D3225">
        <w:rPr>
          <w:szCs w:val="24"/>
        </w:rPr>
        <w:t xml:space="preserve">disclose any underlying medical conditions that may increase the risk of harm associated with </w:t>
      </w:r>
      <w:r w:rsidR="00603328">
        <w:rPr>
          <w:szCs w:val="24"/>
        </w:rPr>
        <w:t>being</w:t>
      </w:r>
      <w:r w:rsidR="005518AD">
        <w:rPr>
          <w:szCs w:val="24"/>
        </w:rPr>
        <w:t xml:space="preserve"> in the laboratories</w:t>
      </w:r>
      <w:r w:rsidR="00B753A0">
        <w:rPr>
          <w:szCs w:val="24"/>
        </w:rPr>
        <w:t xml:space="preserve">.  </w:t>
      </w:r>
      <w:r w:rsidR="00603328">
        <w:rPr>
          <w:szCs w:val="24"/>
        </w:rPr>
        <w:t>Individuals</w:t>
      </w:r>
      <w:r w:rsidRPr="007D3225">
        <w:rPr>
          <w:szCs w:val="24"/>
        </w:rPr>
        <w:t xml:space="preserve"> who are immunocompromised </w:t>
      </w:r>
      <w:r w:rsidR="00A84B57">
        <w:rPr>
          <w:szCs w:val="24"/>
        </w:rPr>
        <w:t>(e.g.</w:t>
      </w:r>
      <w:r w:rsidR="00C60E8F" w:rsidRPr="007D3225">
        <w:rPr>
          <w:szCs w:val="24"/>
        </w:rPr>
        <w:t xml:space="preserve"> through radiation therapy or chemotherapy, pregnancy, diabetes or other conditions) may be particularly susceptible to infections, or experience more severe illness if they contract an infection following exposure to a pathogen.  </w:t>
      </w:r>
    </w:p>
    <w:p w:rsidR="00DA4316" w:rsidRDefault="00DA4316" w:rsidP="00D14101">
      <w:pPr>
        <w:ind w:firstLine="0"/>
        <w:jc w:val="both"/>
        <w:rPr>
          <w:szCs w:val="24"/>
        </w:rPr>
      </w:pPr>
    </w:p>
    <w:p w:rsidR="00DA4316" w:rsidRPr="00DA4316" w:rsidRDefault="00DA4316" w:rsidP="00D14101">
      <w:pPr>
        <w:ind w:firstLine="0"/>
        <w:jc w:val="both"/>
        <w:rPr>
          <w:b/>
          <w:szCs w:val="24"/>
        </w:rPr>
      </w:pPr>
      <w:r w:rsidRPr="00DA4316">
        <w:rPr>
          <w:b/>
          <w:szCs w:val="24"/>
        </w:rPr>
        <w:t>Please check one of the following</w:t>
      </w:r>
      <w:r w:rsidR="001F57E1">
        <w:rPr>
          <w:b/>
          <w:szCs w:val="24"/>
        </w:rPr>
        <w:t>*</w:t>
      </w:r>
      <w:r w:rsidRPr="00DA4316">
        <w:rPr>
          <w:b/>
          <w:szCs w:val="24"/>
        </w:rPr>
        <w:t>:</w:t>
      </w:r>
    </w:p>
    <w:p w:rsidR="008F16E0" w:rsidRPr="007D3225" w:rsidRDefault="008F16E0" w:rsidP="002A0ECB">
      <w:pPr>
        <w:jc w:val="both"/>
        <w:rPr>
          <w:b/>
          <w:szCs w:val="24"/>
        </w:rPr>
      </w:pPr>
    </w:p>
    <w:p w:rsidR="00EF5C76" w:rsidRDefault="00F204F1" w:rsidP="00F047B5">
      <w:pPr>
        <w:spacing w:line="276" w:lineRule="auto"/>
        <w:ind w:firstLine="0"/>
        <w:rPr>
          <w:szCs w:val="24"/>
        </w:rPr>
      </w:pPr>
      <w:r w:rsidRPr="007D3225">
        <w:rPr>
          <w:b/>
          <w:szCs w:val="24"/>
        </w:rPr>
        <w:sym w:font="Wingdings" w:char="F06F"/>
      </w:r>
      <w:r w:rsidRPr="007D3225">
        <w:rPr>
          <w:szCs w:val="24"/>
        </w:rPr>
        <w:t xml:space="preserve">   </w:t>
      </w:r>
      <w:r w:rsidR="00580794" w:rsidRPr="007D3225">
        <w:rPr>
          <w:szCs w:val="24"/>
        </w:rPr>
        <w:t>I</w:t>
      </w:r>
      <w:r w:rsidRPr="007D3225">
        <w:rPr>
          <w:szCs w:val="24"/>
        </w:rPr>
        <w:t xml:space="preserve"> am</w:t>
      </w:r>
      <w:r w:rsidR="00580794" w:rsidRPr="007D3225">
        <w:rPr>
          <w:szCs w:val="24"/>
        </w:rPr>
        <w:t xml:space="preserve"> affected by </w:t>
      </w:r>
      <w:r w:rsidRPr="007D3225">
        <w:rPr>
          <w:szCs w:val="24"/>
        </w:rPr>
        <w:t xml:space="preserve">one or more of </w:t>
      </w:r>
      <w:r w:rsidR="00580794" w:rsidRPr="007D3225">
        <w:rPr>
          <w:szCs w:val="24"/>
        </w:rPr>
        <w:t>the above mentioned conditions</w:t>
      </w:r>
      <w:r w:rsidRPr="007D3225">
        <w:rPr>
          <w:szCs w:val="24"/>
        </w:rPr>
        <w:t xml:space="preserve"> and I will consult with </w:t>
      </w:r>
      <w:r w:rsidR="005518AD">
        <w:rPr>
          <w:szCs w:val="24"/>
        </w:rPr>
        <w:t>the ASET Technologist and/or the ASET Chair</w:t>
      </w:r>
      <w:r w:rsidR="00D87DF1" w:rsidRPr="007D3225">
        <w:rPr>
          <w:szCs w:val="24"/>
        </w:rPr>
        <w:t>, prior to entering the</w:t>
      </w:r>
      <w:r w:rsidR="005518AD">
        <w:rPr>
          <w:szCs w:val="24"/>
        </w:rPr>
        <w:t xml:space="preserve"> W</w:t>
      </w:r>
      <w:r w:rsidR="00D87DF1" w:rsidRPr="007D3225">
        <w:rPr>
          <w:szCs w:val="24"/>
        </w:rPr>
        <w:t xml:space="preserve">A129 </w:t>
      </w:r>
      <w:r w:rsidR="005518AD">
        <w:rPr>
          <w:szCs w:val="24"/>
        </w:rPr>
        <w:t>and/</w:t>
      </w:r>
      <w:r w:rsidR="00D87DF1" w:rsidRPr="007D3225">
        <w:rPr>
          <w:szCs w:val="24"/>
        </w:rPr>
        <w:t xml:space="preserve">or </w:t>
      </w:r>
      <w:r w:rsidR="005518AD">
        <w:rPr>
          <w:szCs w:val="24"/>
        </w:rPr>
        <w:t>WA130 laboratories</w:t>
      </w:r>
      <w:r w:rsidR="00580794" w:rsidRPr="007D3225">
        <w:rPr>
          <w:szCs w:val="24"/>
        </w:rPr>
        <w:t>.</w:t>
      </w:r>
      <w:r w:rsidR="001627F2">
        <w:rPr>
          <w:szCs w:val="24"/>
        </w:rPr>
        <w:t xml:space="preserve">  </w:t>
      </w:r>
    </w:p>
    <w:p w:rsidR="00580794" w:rsidRPr="007D3225" w:rsidRDefault="001627F2" w:rsidP="008836AB">
      <w:pPr>
        <w:ind w:firstLine="0"/>
        <w:rPr>
          <w:szCs w:val="24"/>
        </w:rPr>
      </w:pPr>
      <w:r>
        <w:rPr>
          <w:szCs w:val="24"/>
        </w:rPr>
        <w:t xml:space="preserve">Please list relevant information: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__________________________________________________________________________</w:t>
      </w:r>
      <w:r w:rsidR="00EF5C76">
        <w:rPr>
          <w:szCs w:val="24"/>
        </w:rPr>
        <w:t>_____________________</w:t>
      </w:r>
    </w:p>
    <w:p w:rsidR="000C270A" w:rsidRDefault="000C270A" w:rsidP="000C270A">
      <w:pPr>
        <w:ind w:firstLine="0"/>
        <w:rPr>
          <w:b/>
          <w:szCs w:val="24"/>
        </w:rPr>
      </w:pPr>
    </w:p>
    <w:p w:rsidR="00EF5C76" w:rsidRDefault="000C270A" w:rsidP="00F047B5">
      <w:pPr>
        <w:spacing w:line="276" w:lineRule="auto"/>
        <w:ind w:firstLine="0"/>
        <w:rPr>
          <w:szCs w:val="24"/>
        </w:rPr>
      </w:pPr>
      <w:r w:rsidRPr="007D3225">
        <w:rPr>
          <w:b/>
          <w:szCs w:val="24"/>
        </w:rPr>
        <w:sym w:font="Wingdings" w:char="F06F"/>
      </w:r>
      <w:r w:rsidRPr="007D3225">
        <w:rPr>
          <w:b/>
          <w:szCs w:val="24"/>
        </w:rPr>
        <w:t xml:space="preserve">  </w:t>
      </w:r>
      <w:r w:rsidRPr="007D3225">
        <w:rPr>
          <w:szCs w:val="24"/>
        </w:rPr>
        <w:t xml:space="preserve"> I am </w:t>
      </w:r>
      <w:r w:rsidR="00A84B57" w:rsidRPr="00A84B57">
        <w:rPr>
          <w:b/>
          <w:szCs w:val="24"/>
        </w:rPr>
        <w:t>NOT</w:t>
      </w:r>
      <w:r w:rsidRPr="00A84B57">
        <w:rPr>
          <w:b/>
          <w:szCs w:val="24"/>
        </w:rPr>
        <w:t xml:space="preserve"> </w:t>
      </w:r>
      <w:r w:rsidRPr="007D3225">
        <w:rPr>
          <w:szCs w:val="24"/>
        </w:rPr>
        <w:t>affected by any of the above mentioned</w:t>
      </w:r>
      <w:r>
        <w:rPr>
          <w:szCs w:val="24"/>
        </w:rPr>
        <w:t xml:space="preserve"> medical conditions; </w:t>
      </w:r>
      <w:r w:rsidRPr="00B8174A">
        <w:rPr>
          <w:b/>
          <w:szCs w:val="24"/>
        </w:rPr>
        <w:t>however</w:t>
      </w:r>
      <w:r w:rsidR="00EF5C76" w:rsidRPr="00B8174A">
        <w:rPr>
          <w:b/>
          <w:szCs w:val="24"/>
        </w:rPr>
        <w:t>,</w:t>
      </w:r>
      <w:r w:rsidRPr="00B8174A">
        <w:rPr>
          <w:b/>
          <w:szCs w:val="24"/>
        </w:rPr>
        <w:t xml:space="preserve"> I do have a medical condition</w:t>
      </w:r>
      <w:r>
        <w:rPr>
          <w:szCs w:val="24"/>
        </w:rPr>
        <w:t xml:space="preserve"> that I fee</w:t>
      </w:r>
      <w:r w:rsidR="00A84B57">
        <w:rPr>
          <w:szCs w:val="24"/>
        </w:rPr>
        <w:t>l increases my risk of exposure and I will consult with the ASET Technologist and/or the ASET Chair</w:t>
      </w:r>
      <w:r w:rsidR="00A84B57" w:rsidRPr="007D3225">
        <w:rPr>
          <w:szCs w:val="24"/>
        </w:rPr>
        <w:t>, prior to entering the</w:t>
      </w:r>
      <w:r w:rsidR="00A84B57">
        <w:rPr>
          <w:szCs w:val="24"/>
        </w:rPr>
        <w:t xml:space="preserve"> W</w:t>
      </w:r>
      <w:r w:rsidR="00A84B57" w:rsidRPr="007D3225">
        <w:rPr>
          <w:szCs w:val="24"/>
        </w:rPr>
        <w:t xml:space="preserve">A129 </w:t>
      </w:r>
      <w:r w:rsidR="00A84B57">
        <w:rPr>
          <w:szCs w:val="24"/>
        </w:rPr>
        <w:t>and/</w:t>
      </w:r>
      <w:r w:rsidR="00A84B57" w:rsidRPr="007D3225">
        <w:rPr>
          <w:szCs w:val="24"/>
        </w:rPr>
        <w:t xml:space="preserve">or </w:t>
      </w:r>
      <w:r w:rsidR="00A84B57">
        <w:rPr>
          <w:szCs w:val="24"/>
        </w:rPr>
        <w:t>WA130 laboratories</w:t>
      </w:r>
      <w:r w:rsidR="00A84B57" w:rsidRPr="007D3225">
        <w:rPr>
          <w:szCs w:val="24"/>
        </w:rPr>
        <w:t>.</w:t>
      </w:r>
      <w:r w:rsidR="001627F2">
        <w:rPr>
          <w:szCs w:val="24"/>
        </w:rPr>
        <w:t xml:space="preserve"> </w:t>
      </w:r>
      <w:bookmarkStart w:id="0" w:name="_GoBack"/>
      <w:bookmarkEnd w:id="0"/>
    </w:p>
    <w:p w:rsidR="00A84B57" w:rsidRPr="007D3225" w:rsidRDefault="001627F2" w:rsidP="00A84B57">
      <w:pPr>
        <w:ind w:firstLine="0"/>
        <w:rPr>
          <w:szCs w:val="24"/>
        </w:rPr>
      </w:pPr>
      <w:r>
        <w:rPr>
          <w:szCs w:val="24"/>
        </w:rPr>
        <w:t xml:space="preserve">Please list relevant information: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_____________________________________________________________</w:t>
      </w:r>
      <w:r w:rsidR="00EF5C76">
        <w:rPr>
          <w:szCs w:val="24"/>
        </w:rPr>
        <w:t>__________________________________</w:t>
      </w:r>
    </w:p>
    <w:p w:rsidR="00785B47" w:rsidRDefault="00785B47" w:rsidP="000C270A">
      <w:pPr>
        <w:ind w:firstLine="0"/>
        <w:rPr>
          <w:szCs w:val="24"/>
        </w:rPr>
      </w:pPr>
    </w:p>
    <w:p w:rsidR="005518AD" w:rsidRDefault="005518AD" w:rsidP="005518AD">
      <w:pPr>
        <w:ind w:firstLine="0"/>
        <w:rPr>
          <w:szCs w:val="24"/>
        </w:rPr>
      </w:pPr>
      <w:r w:rsidRPr="007D3225">
        <w:rPr>
          <w:b/>
          <w:szCs w:val="24"/>
        </w:rPr>
        <w:sym w:font="Wingdings" w:char="F06F"/>
      </w:r>
      <w:r w:rsidRPr="007D3225">
        <w:rPr>
          <w:b/>
          <w:szCs w:val="24"/>
        </w:rPr>
        <w:t xml:space="preserve">  </w:t>
      </w:r>
      <w:r w:rsidRPr="007D3225">
        <w:rPr>
          <w:szCs w:val="24"/>
        </w:rPr>
        <w:t xml:space="preserve"> I am </w:t>
      </w:r>
      <w:r w:rsidR="00A84B57" w:rsidRPr="00A84B57">
        <w:rPr>
          <w:b/>
          <w:szCs w:val="24"/>
        </w:rPr>
        <w:t>NOT</w:t>
      </w:r>
      <w:r w:rsidRPr="007D3225">
        <w:rPr>
          <w:szCs w:val="24"/>
        </w:rPr>
        <w:t xml:space="preserve"> affected by any of the above mentioned</w:t>
      </w:r>
      <w:r>
        <w:rPr>
          <w:szCs w:val="24"/>
        </w:rPr>
        <w:t xml:space="preserve"> medical conditions.</w:t>
      </w:r>
    </w:p>
    <w:p w:rsidR="000C270A" w:rsidRPr="007D3225" w:rsidRDefault="000C270A" w:rsidP="008836AB">
      <w:pPr>
        <w:ind w:firstLine="0"/>
        <w:rPr>
          <w:szCs w:val="24"/>
        </w:rPr>
      </w:pPr>
    </w:p>
    <w:tbl>
      <w:tblPr>
        <w:tblpPr w:leftFromText="187" w:rightFromText="187" w:vertAnchor="text" w:horzAnchor="margin" w:tblpY="114"/>
        <w:tblW w:w="13698" w:type="dxa"/>
        <w:tblLook w:val="04A0" w:firstRow="1" w:lastRow="0" w:firstColumn="1" w:lastColumn="0" w:noHBand="0" w:noVBand="1"/>
      </w:tblPr>
      <w:tblGrid>
        <w:gridCol w:w="5148"/>
        <w:gridCol w:w="5400"/>
        <w:gridCol w:w="3150"/>
      </w:tblGrid>
      <w:tr w:rsidR="00785B47" w:rsidRPr="008836AB" w:rsidTr="00337A9F">
        <w:trPr>
          <w:trHeight w:val="50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B47" w:rsidRPr="008836AB" w:rsidRDefault="006A7359" w:rsidP="00302C9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</w:t>
            </w:r>
            <w:r w:rsidR="00EF5C76">
              <w:rPr>
                <w:b/>
                <w:sz w:val="24"/>
                <w:szCs w:val="24"/>
              </w:rPr>
              <w:t xml:space="preserve"> Name (please print)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5B47" w:rsidRPr="008836AB" w:rsidRDefault="00785B47" w:rsidP="00785B4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836AB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85B47" w:rsidRPr="008836AB" w:rsidRDefault="00785B47" w:rsidP="00785B4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836AB">
              <w:rPr>
                <w:b/>
                <w:sz w:val="24"/>
                <w:szCs w:val="24"/>
              </w:rPr>
              <w:t>Date  (DD-MMM-YY)</w:t>
            </w:r>
          </w:p>
        </w:tc>
      </w:tr>
      <w:tr w:rsidR="00785B47" w:rsidRPr="00261A8A" w:rsidTr="00337A9F">
        <w:trPr>
          <w:trHeight w:val="730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7" w:rsidRPr="00261A8A" w:rsidRDefault="00785B47" w:rsidP="00785B47">
            <w:pPr>
              <w:ind w:firstLine="0"/>
              <w:rPr>
                <w:sz w:val="24"/>
                <w:szCs w:val="24"/>
              </w:rPr>
            </w:pPr>
            <w:r w:rsidRPr="00261A8A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7" w:rsidRPr="00261A8A" w:rsidRDefault="00785B47" w:rsidP="00785B47">
            <w:pPr>
              <w:ind w:firstLine="0"/>
              <w:rPr>
                <w:sz w:val="24"/>
                <w:szCs w:val="24"/>
              </w:rPr>
            </w:pPr>
            <w:r w:rsidRPr="00261A8A">
              <w:rPr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47" w:rsidRPr="00261A8A" w:rsidRDefault="00785B47" w:rsidP="00785B47">
            <w:pPr>
              <w:ind w:firstLine="0"/>
              <w:rPr>
                <w:sz w:val="24"/>
                <w:szCs w:val="24"/>
              </w:rPr>
            </w:pPr>
            <w:r w:rsidRPr="00261A8A">
              <w:rPr>
                <w:sz w:val="24"/>
                <w:szCs w:val="24"/>
              </w:rPr>
              <w:t> </w:t>
            </w:r>
          </w:p>
        </w:tc>
      </w:tr>
    </w:tbl>
    <w:p w:rsidR="008F16E0" w:rsidRPr="001F57E1" w:rsidRDefault="00102469" w:rsidP="00337A9F">
      <w:pPr>
        <w:ind w:firstLine="0"/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5518AD">
        <w:rPr>
          <w:b/>
          <w:szCs w:val="24"/>
        </w:rPr>
        <w:t>*</w:t>
      </w:r>
      <w:r w:rsidRPr="007D3225">
        <w:rPr>
          <w:b/>
          <w:szCs w:val="24"/>
        </w:rPr>
        <w:t xml:space="preserve">Throughout the </w:t>
      </w:r>
      <w:r w:rsidR="00603328">
        <w:rPr>
          <w:b/>
          <w:szCs w:val="24"/>
        </w:rPr>
        <w:t>visiting period</w:t>
      </w:r>
      <w:r w:rsidRPr="007D3225">
        <w:rPr>
          <w:b/>
          <w:szCs w:val="24"/>
        </w:rPr>
        <w:t xml:space="preserve">, </w:t>
      </w:r>
      <w:r w:rsidR="00DD5C18">
        <w:rPr>
          <w:b/>
          <w:szCs w:val="24"/>
        </w:rPr>
        <w:t xml:space="preserve">it is incumbent upon </w:t>
      </w:r>
      <w:r w:rsidR="00603328">
        <w:rPr>
          <w:b/>
          <w:szCs w:val="24"/>
        </w:rPr>
        <w:t>the individual</w:t>
      </w:r>
      <w:r w:rsidRPr="007D3225">
        <w:rPr>
          <w:b/>
          <w:szCs w:val="24"/>
        </w:rPr>
        <w:t xml:space="preserve"> to disclose any changes in health status that could increase risk of exposure.</w:t>
      </w:r>
      <w:r w:rsidR="001F57E1">
        <w:rPr>
          <w:szCs w:val="24"/>
        </w:rPr>
        <w:tab/>
      </w:r>
    </w:p>
    <w:sectPr w:rsidR="008F16E0" w:rsidRPr="001F57E1" w:rsidSect="005518AD">
      <w:headerReference w:type="default" r:id="rId11"/>
      <w:footerReference w:type="default" r:id="rId12"/>
      <w:pgSz w:w="15840" w:h="12240" w:orient="landscape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8E" w:rsidRDefault="001C538E" w:rsidP="00DB44F7">
      <w:r>
        <w:separator/>
      </w:r>
    </w:p>
  </w:endnote>
  <w:endnote w:type="continuationSeparator" w:id="0">
    <w:p w:rsidR="001C538E" w:rsidRDefault="001C538E" w:rsidP="00DB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101" w:rsidRDefault="005518AD" w:rsidP="005518AD">
    <w:pPr>
      <w:ind w:firstLine="0"/>
      <w:jc w:val="center"/>
    </w:pPr>
    <w:r>
      <w:t xml:space="preserve">1: </w:t>
    </w:r>
    <w:r w:rsidRPr="005518AD">
      <w:t>https://www.canada.ca/en/public-health/services/canadian-biosafety-standards-guidelines/second-edition.html</w:t>
    </w:r>
  </w:p>
  <w:p w:rsidR="00BC3AF4" w:rsidRDefault="00BC3AF4" w:rsidP="005257C3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8E" w:rsidRDefault="001C538E" w:rsidP="00DB44F7">
      <w:r>
        <w:separator/>
      </w:r>
    </w:p>
  </w:footnote>
  <w:footnote w:type="continuationSeparator" w:id="0">
    <w:p w:rsidR="001C538E" w:rsidRDefault="001C538E" w:rsidP="00DB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1"/>
      <w:tblW w:w="5000" w:type="pct"/>
      <w:tblLook w:val="00A0" w:firstRow="1" w:lastRow="0" w:firstColumn="1" w:lastColumn="0" w:noHBand="0" w:noVBand="0"/>
    </w:tblPr>
    <w:tblGrid>
      <w:gridCol w:w="5332"/>
      <w:gridCol w:w="8348"/>
    </w:tblGrid>
    <w:tr w:rsidR="00BC3AF4" w:rsidRPr="00CB0499" w:rsidTr="0069114A">
      <w:trPr>
        <w:trHeight w:val="1080"/>
      </w:trPr>
      <w:tc>
        <w:tcPr>
          <w:tcW w:w="1949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</w:tcPr>
        <w:p w:rsidR="00BC3AF4" w:rsidRPr="00A626CA" w:rsidRDefault="00BC3AF4" w:rsidP="00A626CA">
          <w:pPr>
            <w:pStyle w:val="Title"/>
            <w:jc w:val="left"/>
            <w:rPr>
              <w:b w:val="0"/>
              <w:noProof/>
              <w:sz w:val="22"/>
              <w:szCs w:val="22"/>
            </w:rPr>
          </w:pPr>
          <w:r>
            <w:rPr>
              <w:b w:val="0"/>
              <w:noProof/>
              <w:sz w:val="22"/>
              <w:szCs w:val="22"/>
              <w:lang w:eastAsia="en-CA" w:bidi="ar-SA"/>
            </w:rPr>
            <w:drawing>
              <wp:inline distT="0" distB="0" distL="0" distR="0" wp14:anchorId="0B730CAC" wp14:editId="57B9DD14">
                <wp:extent cx="2406650" cy="524884"/>
                <wp:effectExtent l="19050" t="0" r="0" b="0"/>
                <wp:docPr id="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650" cy="5248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1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</w:tcPr>
        <w:p w:rsidR="009903C6" w:rsidRDefault="009903C6" w:rsidP="009903C6">
          <w:pPr>
            <w:pStyle w:val="Title"/>
            <w:ind w:firstLine="0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>Applied Science &amp; Environmental Technology</w:t>
          </w:r>
        </w:p>
        <w:p w:rsidR="00BC3AF4" w:rsidRPr="009903C6" w:rsidRDefault="00603328" w:rsidP="00B753A0">
          <w:pPr>
            <w:pStyle w:val="Title"/>
            <w:ind w:firstLine="0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Visitor </w:t>
          </w:r>
          <w:r w:rsidR="00BC3AF4">
            <w:rPr>
              <w:sz w:val="32"/>
              <w:szCs w:val="32"/>
            </w:rPr>
            <w:t>Medical Surveillance Form</w:t>
          </w:r>
        </w:p>
      </w:tc>
    </w:tr>
  </w:tbl>
  <w:p w:rsidR="00BC3AF4" w:rsidRPr="007670F6" w:rsidRDefault="00BC3AF4" w:rsidP="007670F6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802"/>
    <w:multiLevelType w:val="hybridMultilevel"/>
    <w:tmpl w:val="D434509A"/>
    <w:lvl w:ilvl="0" w:tplc="2A7A04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05B72"/>
    <w:multiLevelType w:val="hybridMultilevel"/>
    <w:tmpl w:val="96C6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F7"/>
    <w:rsid w:val="00044077"/>
    <w:rsid w:val="000A5672"/>
    <w:rsid w:val="000C1E97"/>
    <w:rsid w:val="000C270A"/>
    <w:rsid w:val="00102469"/>
    <w:rsid w:val="00123371"/>
    <w:rsid w:val="001627F2"/>
    <w:rsid w:val="001C538E"/>
    <w:rsid w:val="001C7BCC"/>
    <w:rsid w:val="001E6C23"/>
    <w:rsid w:val="001F0B20"/>
    <w:rsid w:val="001F255B"/>
    <w:rsid w:val="001F57E1"/>
    <w:rsid w:val="00217103"/>
    <w:rsid w:val="002453EB"/>
    <w:rsid w:val="00261A8A"/>
    <w:rsid w:val="002675A7"/>
    <w:rsid w:val="002A0ECB"/>
    <w:rsid w:val="00302C9F"/>
    <w:rsid w:val="00337A9F"/>
    <w:rsid w:val="00393671"/>
    <w:rsid w:val="003C24EE"/>
    <w:rsid w:val="003E7F52"/>
    <w:rsid w:val="00402EB9"/>
    <w:rsid w:val="00413C60"/>
    <w:rsid w:val="00423F9F"/>
    <w:rsid w:val="004F78EC"/>
    <w:rsid w:val="005257C3"/>
    <w:rsid w:val="005518AD"/>
    <w:rsid w:val="00580794"/>
    <w:rsid w:val="005E6FF2"/>
    <w:rsid w:val="00603328"/>
    <w:rsid w:val="00626B9C"/>
    <w:rsid w:val="0069114A"/>
    <w:rsid w:val="006A0A2A"/>
    <w:rsid w:val="006A24A5"/>
    <w:rsid w:val="006A7359"/>
    <w:rsid w:val="006C5F28"/>
    <w:rsid w:val="006D48DB"/>
    <w:rsid w:val="006F151A"/>
    <w:rsid w:val="0071114B"/>
    <w:rsid w:val="007600FA"/>
    <w:rsid w:val="007670F6"/>
    <w:rsid w:val="00785B47"/>
    <w:rsid w:val="0079326D"/>
    <w:rsid w:val="007B32D2"/>
    <w:rsid w:val="007D3225"/>
    <w:rsid w:val="008066C1"/>
    <w:rsid w:val="00827EF5"/>
    <w:rsid w:val="008601C3"/>
    <w:rsid w:val="00864E29"/>
    <w:rsid w:val="008836AB"/>
    <w:rsid w:val="008B23BB"/>
    <w:rsid w:val="008B7446"/>
    <w:rsid w:val="008F16E0"/>
    <w:rsid w:val="00901ADD"/>
    <w:rsid w:val="0092157A"/>
    <w:rsid w:val="009636FB"/>
    <w:rsid w:val="00967252"/>
    <w:rsid w:val="00981A06"/>
    <w:rsid w:val="009831C7"/>
    <w:rsid w:val="009903C6"/>
    <w:rsid w:val="009E49C8"/>
    <w:rsid w:val="00A41255"/>
    <w:rsid w:val="00A551BF"/>
    <w:rsid w:val="00A626CA"/>
    <w:rsid w:val="00A84B57"/>
    <w:rsid w:val="00AB22B7"/>
    <w:rsid w:val="00AE0F9F"/>
    <w:rsid w:val="00AF443A"/>
    <w:rsid w:val="00AF63E6"/>
    <w:rsid w:val="00B25272"/>
    <w:rsid w:val="00B4057E"/>
    <w:rsid w:val="00B753A0"/>
    <w:rsid w:val="00B8174A"/>
    <w:rsid w:val="00BB2F8E"/>
    <w:rsid w:val="00BC3AF4"/>
    <w:rsid w:val="00C05B35"/>
    <w:rsid w:val="00C250CD"/>
    <w:rsid w:val="00C60E8F"/>
    <w:rsid w:val="00C7380E"/>
    <w:rsid w:val="00C9443A"/>
    <w:rsid w:val="00CC61C1"/>
    <w:rsid w:val="00CF0CF6"/>
    <w:rsid w:val="00D14101"/>
    <w:rsid w:val="00D15460"/>
    <w:rsid w:val="00D87DF1"/>
    <w:rsid w:val="00DA1DC4"/>
    <w:rsid w:val="00DA4316"/>
    <w:rsid w:val="00DB44F7"/>
    <w:rsid w:val="00DC41A2"/>
    <w:rsid w:val="00DD5C18"/>
    <w:rsid w:val="00DD7407"/>
    <w:rsid w:val="00E17D76"/>
    <w:rsid w:val="00E474F9"/>
    <w:rsid w:val="00E968E9"/>
    <w:rsid w:val="00EC3965"/>
    <w:rsid w:val="00EE00CD"/>
    <w:rsid w:val="00EF181C"/>
    <w:rsid w:val="00EF5C76"/>
    <w:rsid w:val="00F01E68"/>
    <w:rsid w:val="00F047B5"/>
    <w:rsid w:val="00F204F1"/>
    <w:rsid w:val="00FC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58BCCB-1A05-404C-BAC7-727B679F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F8E"/>
    <w:pPr>
      <w:ind w:firstLine="360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101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4F7"/>
  </w:style>
  <w:style w:type="paragraph" w:styleId="Footer">
    <w:name w:val="footer"/>
    <w:basedOn w:val="Normal"/>
    <w:link w:val="FooterChar"/>
    <w:uiPriority w:val="99"/>
    <w:unhideWhenUsed/>
    <w:rsid w:val="00DB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4F7"/>
  </w:style>
  <w:style w:type="paragraph" w:styleId="BalloonText">
    <w:name w:val="Balloon Text"/>
    <w:basedOn w:val="Normal"/>
    <w:link w:val="BalloonTextChar"/>
    <w:uiPriority w:val="99"/>
    <w:semiHidden/>
    <w:unhideWhenUsed/>
    <w:rsid w:val="00DB4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F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B44F7"/>
    <w:pPr>
      <w:jc w:val="center"/>
    </w:pPr>
    <w:rPr>
      <w:rFonts w:ascii="Arial" w:eastAsia="Times New Roman" w:hAnsi="Arial" w:cs="Arial"/>
      <w:b/>
      <w:bCs/>
      <w:sz w:val="36"/>
      <w:szCs w:val="24"/>
      <w:lang w:val="en-CA"/>
    </w:rPr>
  </w:style>
  <w:style w:type="character" w:customStyle="1" w:styleId="TitleChar">
    <w:name w:val="Title Char"/>
    <w:basedOn w:val="DefaultParagraphFont"/>
    <w:link w:val="Title"/>
    <w:uiPriority w:val="99"/>
    <w:rsid w:val="00DB44F7"/>
    <w:rPr>
      <w:rFonts w:ascii="Arial" w:eastAsia="Times New Roman" w:hAnsi="Arial" w:cs="Arial"/>
      <w:b/>
      <w:bCs/>
      <w:sz w:val="36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F181C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D14101"/>
  </w:style>
  <w:style w:type="character" w:customStyle="1" w:styleId="Heading1Char">
    <w:name w:val="Heading 1 Char"/>
    <w:basedOn w:val="DefaultParagraphFont"/>
    <w:link w:val="Heading1"/>
    <w:uiPriority w:val="9"/>
    <w:rsid w:val="00D1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A8514A6AAC144869F5E7CAD5B18A2" ma:contentTypeVersion="0" ma:contentTypeDescription="Create a new document." ma:contentTypeScope="" ma:versionID="e14867e2edce87ad66fe977caed95a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Pub13</b:Tag>
    <b:SourceType>DocumentFromInternetSite</b:SourceType>
    <b:Guid>{9D025685-234A-433D-AB70-EF00AD9DF5C8}</b:Guid>
    <b:Title>Canadian Biosafety Standards</b:Title>
    <b:Year>2013</b:Year>
    <b:YearAccessed>2014</b:YearAccessed>
    <b:MonthAccessed>August</b:MonthAccessed>
    <b:DayAccessed>29</b:DayAccessed>
    <b:URL>http://canadianbiosafetystandards.collaboration.gc.ca/</b:URL>
    <b:Author>
      <b:Author>
        <b:Corporate>Public Health Agency of Canada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0174D6C-941C-4AA1-AA02-38FCA57BA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1C95AF-FCE6-4914-BB82-3D23A54A7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EA6A8-4544-4419-9C4B-9624DCBCB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7803CA-8A34-4094-8726-C1FF647D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Pam Auchterlonie</cp:lastModifiedBy>
  <cp:revision>5</cp:revision>
  <cp:lastPrinted>2013-08-27T12:53:00Z</cp:lastPrinted>
  <dcterms:created xsi:type="dcterms:W3CDTF">2020-04-17T16:54:00Z</dcterms:created>
  <dcterms:modified xsi:type="dcterms:W3CDTF">2020-04-20T14:59:00Z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0x0101003E2A8514A6AAC144869F5E7CAD5B18A2</vt:lpwstr>
  </property>
</Properties>
</file>